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6455" w14:textId="77777777" w:rsidR="00622234" w:rsidRPr="00792AC6" w:rsidRDefault="00622234" w:rsidP="00792AC6">
      <w:pPr>
        <w:spacing w:line="360" w:lineRule="auto"/>
        <w:jc w:val="both"/>
        <w:rPr>
          <w:rFonts w:asciiTheme="majorBidi" w:hAnsiTheme="majorBidi" w:cstheme="majorBidi"/>
          <w:b/>
          <w:bCs/>
        </w:rPr>
      </w:pPr>
      <w:r w:rsidRPr="00792AC6">
        <w:rPr>
          <w:rFonts w:asciiTheme="majorBidi" w:hAnsiTheme="majorBidi" w:cstheme="majorBidi"/>
          <w:b/>
          <w:bCs/>
        </w:rPr>
        <w:t>Success Story: Ethiopia Launches Its First National Guideline for Ethical Use of Laboratory Animals</w:t>
      </w:r>
    </w:p>
    <w:p w14:paraId="22BEFF1A" w14:textId="1165095C" w:rsidR="00622234" w:rsidRPr="00792AC6" w:rsidRDefault="00622234" w:rsidP="00792AC6">
      <w:pPr>
        <w:spacing w:line="360" w:lineRule="auto"/>
        <w:jc w:val="both"/>
        <w:rPr>
          <w:rFonts w:asciiTheme="majorBidi" w:hAnsiTheme="majorBidi" w:cstheme="majorBidi"/>
        </w:rPr>
      </w:pPr>
      <w:r w:rsidRPr="00792AC6">
        <w:rPr>
          <w:rFonts w:asciiTheme="majorBidi" w:hAnsiTheme="majorBidi" w:cstheme="majorBidi"/>
        </w:rPr>
        <w:t xml:space="preserve">A landmark national guideline for the ethical management and use of laboratory animals in scientific research and education has been officially launched at the </w:t>
      </w:r>
      <w:proofErr w:type="spellStart"/>
      <w:r w:rsidRPr="00792AC6">
        <w:rPr>
          <w:rFonts w:asciiTheme="majorBidi" w:hAnsiTheme="majorBidi" w:cstheme="majorBidi"/>
        </w:rPr>
        <w:t>Armauer</w:t>
      </w:r>
      <w:proofErr w:type="spellEnd"/>
      <w:r w:rsidRPr="00792AC6">
        <w:rPr>
          <w:rFonts w:asciiTheme="majorBidi" w:hAnsiTheme="majorBidi" w:cstheme="majorBidi"/>
        </w:rPr>
        <w:t xml:space="preserve"> Hansen Research Institute (AHRI). Developed with the support of </w:t>
      </w:r>
      <w:r w:rsidR="00792AC6" w:rsidRPr="00792AC6">
        <w:rPr>
          <w:rFonts w:asciiTheme="majorBidi" w:hAnsiTheme="majorBidi" w:cstheme="majorBidi"/>
        </w:rPr>
        <w:t>different partners</w:t>
      </w:r>
      <w:r w:rsidRPr="00792AC6">
        <w:rPr>
          <w:rFonts w:asciiTheme="majorBidi" w:hAnsiTheme="majorBidi" w:cstheme="majorBidi"/>
        </w:rPr>
        <w:t>, the guideline represents the first standardized national framework for laboratory animal care and use in Ethiopia's research history.</w:t>
      </w:r>
    </w:p>
    <w:p w14:paraId="144D4358" w14:textId="77777777" w:rsidR="00622234" w:rsidRPr="00792AC6" w:rsidRDefault="00622234" w:rsidP="00792AC6">
      <w:pPr>
        <w:spacing w:line="360" w:lineRule="auto"/>
        <w:jc w:val="both"/>
        <w:rPr>
          <w:rFonts w:asciiTheme="majorBidi" w:hAnsiTheme="majorBidi" w:cstheme="majorBidi"/>
        </w:rPr>
      </w:pPr>
      <w:r w:rsidRPr="00792AC6">
        <w:rPr>
          <w:rFonts w:asciiTheme="majorBidi" w:hAnsiTheme="majorBidi" w:cstheme="majorBidi"/>
        </w:rPr>
        <w:t>Established under Regulation No. 530/2023, AHRI is mandated to design, implement, and oversee basic, clinical, and translational research in Ethiopia. Recognizing the growing importance of ethical standards in research, the Institute spearheaded the development of this guideline to address a longstanding regulatory gap. Although Ethiopia has more than 50 years of experience using laboratory animals in research and education, the country previously lacked a comprehensive legal and regulatory framework governing their care and use.</w:t>
      </w:r>
    </w:p>
    <w:p w14:paraId="731D319A" w14:textId="77777777" w:rsidR="00622234" w:rsidRPr="00792AC6" w:rsidRDefault="00622234" w:rsidP="00792AC6">
      <w:pPr>
        <w:spacing w:line="360" w:lineRule="auto"/>
        <w:jc w:val="both"/>
        <w:rPr>
          <w:rFonts w:asciiTheme="majorBidi" w:hAnsiTheme="majorBidi" w:cstheme="majorBidi"/>
        </w:rPr>
      </w:pPr>
      <w:r w:rsidRPr="00792AC6">
        <w:rPr>
          <w:rFonts w:asciiTheme="majorBidi" w:hAnsiTheme="majorBidi" w:cstheme="majorBidi"/>
        </w:rPr>
        <w:t>The new guideline aligns with internationally accepted standards and provides clear requirements for animal housing, nutrition, veterinary care, and welfare. It also institutionalizes the globally recognized principles of the “3Rs”: Replacement of animals with alternatives whenever possible, Reduction in the number of animals used, and Refinement of procedures to minimize pain and distress.</w:t>
      </w:r>
    </w:p>
    <w:p w14:paraId="4204C859" w14:textId="77777777" w:rsidR="00622234" w:rsidRPr="00792AC6" w:rsidRDefault="00622234" w:rsidP="00792AC6">
      <w:pPr>
        <w:spacing w:line="360" w:lineRule="auto"/>
        <w:jc w:val="both"/>
        <w:rPr>
          <w:rFonts w:asciiTheme="majorBidi" w:hAnsiTheme="majorBidi" w:cstheme="majorBidi"/>
        </w:rPr>
      </w:pPr>
      <w:r w:rsidRPr="00792AC6">
        <w:rPr>
          <w:rFonts w:asciiTheme="majorBidi" w:hAnsiTheme="majorBidi" w:cstheme="majorBidi"/>
        </w:rPr>
        <w:t>Beyond developing the guideline, AHRI has demonstrated national leadership by establishing a standard laboratory animal facility, introducing new animal strains for research, and providing training for professionals. The guideline is intended for implementation across public and private universities, research institutions, and other organizations conducting animal-based research in Ethiopia. Its adoption is expected to strengthen research quality, enhance scientific competitiveness, and reinforce the country’s commitment to animal welfare and ethical research practices.</w:t>
      </w:r>
    </w:p>
    <w:p w14:paraId="4C86CB48" w14:textId="67E3B558" w:rsidR="00622234" w:rsidRPr="00792AC6" w:rsidRDefault="00622234" w:rsidP="00792AC6">
      <w:pPr>
        <w:spacing w:line="360" w:lineRule="auto"/>
        <w:jc w:val="both"/>
        <w:rPr>
          <w:rFonts w:asciiTheme="majorBidi" w:hAnsiTheme="majorBidi" w:cstheme="majorBidi"/>
        </w:rPr>
      </w:pPr>
      <w:r w:rsidRPr="00792AC6">
        <w:rPr>
          <w:rFonts w:asciiTheme="majorBidi" w:hAnsiTheme="majorBidi" w:cstheme="majorBidi"/>
        </w:rPr>
        <w:t xml:space="preserve">The achievement was made possible through strong national and international collaboration. In particular, the contributions of LAL UK and researchers from Utrecht University were instrumental in advancing laboratory animal science and ethics in Ethiopia. Their support ranged from introducing laboratory animal science training courses to providing technical expertise, </w:t>
      </w:r>
      <w:r w:rsidRPr="00792AC6">
        <w:rPr>
          <w:rFonts w:asciiTheme="majorBidi" w:hAnsiTheme="majorBidi" w:cstheme="majorBidi"/>
        </w:rPr>
        <w:lastRenderedPageBreak/>
        <w:t xml:space="preserve">mentorship, and administrative assistance throughout the guideline development process. The dedication of </w:t>
      </w:r>
      <w:r w:rsidR="00792AC6" w:rsidRPr="00792AC6">
        <w:rPr>
          <w:rFonts w:asciiTheme="majorBidi" w:hAnsiTheme="majorBidi" w:cstheme="majorBidi"/>
          <w:b/>
          <w:bCs/>
        </w:rPr>
        <w:t>Mr. Pim Rooymans</w:t>
      </w:r>
      <w:r w:rsidR="00F652D9">
        <w:rPr>
          <w:rFonts w:asciiTheme="majorBidi" w:hAnsiTheme="majorBidi" w:cstheme="majorBidi"/>
          <w:b/>
          <w:bCs/>
        </w:rPr>
        <w:t>,</w:t>
      </w:r>
      <w:r w:rsidR="00792AC6" w:rsidRPr="00792AC6">
        <w:rPr>
          <w:rFonts w:asciiTheme="majorBidi" w:hAnsiTheme="majorBidi" w:cstheme="majorBidi"/>
          <w:b/>
          <w:bCs/>
        </w:rPr>
        <w:t xml:space="preserve"> Professor </w:t>
      </w:r>
      <w:r w:rsidRPr="00792AC6">
        <w:rPr>
          <w:rFonts w:asciiTheme="majorBidi" w:hAnsiTheme="majorBidi" w:cstheme="majorBidi"/>
          <w:b/>
          <w:bCs/>
        </w:rPr>
        <w:t>Vera Baumans</w:t>
      </w:r>
      <w:r w:rsidRPr="00792AC6">
        <w:rPr>
          <w:rFonts w:asciiTheme="majorBidi" w:hAnsiTheme="majorBidi" w:cstheme="majorBidi"/>
        </w:rPr>
        <w:t xml:space="preserve"> and</w:t>
      </w:r>
      <w:r w:rsidR="00F652D9">
        <w:rPr>
          <w:rFonts w:asciiTheme="majorBidi" w:hAnsiTheme="majorBidi" w:cstheme="majorBidi"/>
        </w:rPr>
        <w:t xml:space="preserve"> their colleagues</w:t>
      </w:r>
      <w:r w:rsidRPr="00792AC6">
        <w:rPr>
          <w:rFonts w:asciiTheme="majorBidi" w:hAnsiTheme="majorBidi" w:cstheme="majorBidi"/>
        </w:rPr>
        <w:t xml:space="preserve"> significantly contributed to building local capacity and strengthening institutional systems for ethical animal research.</w:t>
      </w:r>
    </w:p>
    <w:p w14:paraId="6A3177E6" w14:textId="672BB27A" w:rsidR="00622234" w:rsidRPr="00792AC6" w:rsidRDefault="00622234" w:rsidP="00792AC6">
      <w:pPr>
        <w:spacing w:line="360" w:lineRule="auto"/>
        <w:jc w:val="both"/>
        <w:rPr>
          <w:rFonts w:asciiTheme="majorBidi" w:hAnsiTheme="majorBidi" w:cstheme="majorBidi"/>
        </w:rPr>
      </w:pPr>
      <w:r w:rsidRPr="00792AC6">
        <w:rPr>
          <w:rFonts w:asciiTheme="majorBidi" w:hAnsiTheme="majorBidi" w:cstheme="majorBidi"/>
        </w:rPr>
        <w:t xml:space="preserve">In his opening remarks, AHRI Director General, </w:t>
      </w:r>
      <w:r w:rsidR="00792AC6" w:rsidRPr="00792AC6">
        <w:rPr>
          <w:rFonts w:asciiTheme="majorBidi" w:hAnsiTheme="majorBidi" w:cstheme="majorBidi"/>
        </w:rPr>
        <w:t xml:space="preserve">Professor </w:t>
      </w:r>
      <w:r w:rsidRPr="00792AC6">
        <w:rPr>
          <w:rFonts w:asciiTheme="majorBidi" w:hAnsiTheme="majorBidi" w:cstheme="majorBidi"/>
        </w:rPr>
        <w:t>Afework Kassu, emphasized the importance of collaboration and dialogue in achieving shared goals. He highlighted the critical role of research in informing policy, production, service delivery, and market development, and encouraged participants to focus discussions on policy, One Health, laboratory animals, and productivity.</w:t>
      </w:r>
    </w:p>
    <w:p w14:paraId="06D19E3B" w14:textId="77777777" w:rsidR="00622234" w:rsidRPr="00792AC6" w:rsidRDefault="00622234" w:rsidP="00792AC6">
      <w:pPr>
        <w:spacing w:line="360" w:lineRule="auto"/>
        <w:jc w:val="both"/>
        <w:rPr>
          <w:rFonts w:asciiTheme="majorBidi" w:hAnsiTheme="majorBidi" w:cstheme="majorBidi"/>
        </w:rPr>
      </w:pPr>
      <w:r w:rsidRPr="00792AC6">
        <w:rPr>
          <w:rFonts w:asciiTheme="majorBidi" w:hAnsiTheme="majorBidi" w:cstheme="majorBidi"/>
        </w:rPr>
        <w:t>The launch event also featured a presentation on the establishment of Institutional Animal Care and Use Committees (IACUCs) within research institutions. These committees will be responsible for reviewing and overseeing animal-based research projects to ensure compliance with ethical and scientific standards. Stakeholder consultations were conducted to gather recommendations and strengthen implementation strategies.</w:t>
      </w:r>
    </w:p>
    <w:p w14:paraId="32AFF196" w14:textId="77777777" w:rsidR="00622234" w:rsidRPr="00792AC6" w:rsidRDefault="00622234" w:rsidP="00792AC6">
      <w:pPr>
        <w:spacing w:line="360" w:lineRule="auto"/>
        <w:jc w:val="both"/>
        <w:rPr>
          <w:rFonts w:asciiTheme="majorBidi" w:hAnsiTheme="majorBidi" w:cstheme="majorBidi"/>
        </w:rPr>
      </w:pPr>
      <w:r w:rsidRPr="00792AC6">
        <w:rPr>
          <w:rFonts w:asciiTheme="majorBidi" w:hAnsiTheme="majorBidi" w:cstheme="majorBidi"/>
        </w:rPr>
        <w:t>The launch of the national IACUC guideline marks a significant milestone in Ethiopia’s research ecosystem and lays the foundation for responsible, ethical, and internationally recognized laboratory animal research. It demonstrates the power of partnerships in strengthening research governance, improving animal welfare, and enhancing the quality and global competitiveness of Ethiopian science.</w:t>
      </w:r>
    </w:p>
    <w:p w14:paraId="743514F8" w14:textId="694801B1" w:rsidR="00792AC6" w:rsidRPr="003B60DA" w:rsidRDefault="00792AC6" w:rsidP="00792AC6">
      <w:pPr>
        <w:spacing w:line="360" w:lineRule="auto"/>
        <w:jc w:val="both"/>
        <w:rPr>
          <w:rFonts w:asciiTheme="majorBidi" w:hAnsiTheme="majorBidi" w:cstheme="majorBidi"/>
          <w:lang w:val="es-ES"/>
        </w:rPr>
      </w:pPr>
      <w:r w:rsidRPr="003B60DA">
        <w:rPr>
          <w:rFonts w:asciiTheme="majorBidi" w:hAnsiTheme="majorBidi" w:cstheme="majorBidi"/>
          <w:lang w:val="es-ES"/>
        </w:rPr>
        <w:t xml:space="preserve">Dr </w:t>
      </w:r>
      <w:proofErr w:type="spellStart"/>
      <w:r w:rsidRPr="003B60DA">
        <w:rPr>
          <w:rFonts w:asciiTheme="majorBidi" w:hAnsiTheme="majorBidi" w:cstheme="majorBidi"/>
          <w:lang w:val="es-ES"/>
        </w:rPr>
        <w:t>Alemayehu</w:t>
      </w:r>
      <w:proofErr w:type="spellEnd"/>
      <w:r w:rsidRPr="003B60DA">
        <w:rPr>
          <w:rFonts w:asciiTheme="majorBidi" w:hAnsiTheme="majorBidi" w:cstheme="majorBidi"/>
          <w:lang w:val="es-ES"/>
        </w:rPr>
        <w:t xml:space="preserve"> Toma,</w:t>
      </w:r>
    </w:p>
    <w:p w14:paraId="66104FC5" w14:textId="72F7DCDF" w:rsidR="00792AC6" w:rsidRPr="003B60DA" w:rsidRDefault="00792AC6" w:rsidP="00792AC6">
      <w:pPr>
        <w:spacing w:line="360" w:lineRule="auto"/>
        <w:jc w:val="both"/>
        <w:rPr>
          <w:rFonts w:asciiTheme="majorBidi" w:hAnsiTheme="majorBidi" w:cstheme="majorBidi"/>
          <w:lang w:val="es-ES"/>
        </w:rPr>
      </w:pPr>
      <w:r w:rsidRPr="003B60DA">
        <w:rPr>
          <w:rFonts w:asciiTheme="majorBidi" w:hAnsiTheme="majorBidi" w:cstheme="majorBidi"/>
          <w:lang w:val="es-ES"/>
        </w:rPr>
        <w:t xml:space="preserve">LAS, </w:t>
      </w:r>
      <w:proofErr w:type="spellStart"/>
      <w:r w:rsidRPr="003B60DA">
        <w:rPr>
          <w:rFonts w:asciiTheme="majorBidi" w:hAnsiTheme="majorBidi" w:cstheme="majorBidi"/>
          <w:lang w:val="es-ES"/>
        </w:rPr>
        <w:t>Alumni</w:t>
      </w:r>
      <w:proofErr w:type="spellEnd"/>
      <w:r w:rsidRPr="003B60DA">
        <w:rPr>
          <w:rFonts w:asciiTheme="majorBidi" w:hAnsiTheme="majorBidi" w:cstheme="majorBidi"/>
          <w:lang w:val="es-ES"/>
        </w:rPr>
        <w:t xml:space="preserve"> of Utrecht </w:t>
      </w:r>
      <w:proofErr w:type="spellStart"/>
      <w:r w:rsidRPr="003B60DA">
        <w:rPr>
          <w:rFonts w:asciiTheme="majorBidi" w:hAnsiTheme="majorBidi" w:cstheme="majorBidi"/>
          <w:lang w:val="es-ES"/>
        </w:rPr>
        <w:t>University</w:t>
      </w:r>
      <w:proofErr w:type="spellEnd"/>
    </w:p>
    <w:sectPr w:rsidR="00792AC6" w:rsidRPr="003B6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58"/>
    <w:rsid w:val="003308D6"/>
    <w:rsid w:val="003B60DA"/>
    <w:rsid w:val="00622234"/>
    <w:rsid w:val="006A075E"/>
    <w:rsid w:val="0076077D"/>
    <w:rsid w:val="00792AC6"/>
    <w:rsid w:val="007B1346"/>
    <w:rsid w:val="00805321"/>
    <w:rsid w:val="00A6344F"/>
    <w:rsid w:val="00BA58A0"/>
    <w:rsid w:val="00DB2327"/>
    <w:rsid w:val="00E32D58"/>
    <w:rsid w:val="00F65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41B9"/>
  <w15:chartTrackingRefBased/>
  <w15:docId w15:val="{3BF4FA95-265D-443D-B090-9091F5F9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2D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2D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2D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2D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2D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2D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2D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2D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2D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2D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2D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2D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2D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2D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2D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2D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2D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2D58"/>
    <w:rPr>
      <w:rFonts w:eastAsiaTheme="majorEastAsia" w:cstheme="majorBidi"/>
      <w:color w:val="272727" w:themeColor="text1" w:themeTint="D8"/>
    </w:rPr>
  </w:style>
  <w:style w:type="paragraph" w:styleId="Titel">
    <w:name w:val="Title"/>
    <w:basedOn w:val="Standaard"/>
    <w:next w:val="Standaard"/>
    <w:link w:val="TitelChar"/>
    <w:uiPriority w:val="10"/>
    <w:qFormat/>
    <w:rsid w:val="00E32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2D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2D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2D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2D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2D58"/>
    <w:rPr>
      <w:i/>
      <w:iCs/>
      <w:color w:val="404040" w:themeColor="text1" w:themeTint="BF"/>
    </w:rPr>
  </w:style>
  <w:style w:type="paragraph" w:styleId="Lijstalinea">
    <w:name w:val="List Paragraph"/>
    <w:basedOn w:val="Standaard"/>
    <w:uiPriority w:val="34"/>
    <w:qFormat/>
    <w:rsid w:val="00E32D58"/>
    <w:pPr>
      <w:ind w:left="720"/>
      <w:contextualSpacing/>
    </w:pPr>
  </w:style>
  <w:style w:type="character" w:styleId="Intensievebenadrukking">
    <w:name w:val="Intense Emphasis"/>
    <w:basedOn w:val="Standaardalinea-lettertype"/>
    <w:uiPriority w:val="21"/>
    <w:qFormat/>
    <w:rsid w:val="00E32D58"/>
    <w:rPr>
      <w:i/>
      <w:iCs/>
      <w:color w:val="2F5496" w:themeColor="accent1" w:themeShade="BF"/>
    </w:rPr>
  </w:style>
  <w:style w:type="paragraph" w:styleId="Duidelijkcitaat">
    <w:name w:val="Intense Quote"/>
    <w:basedOn w:val="Standaard"/>
    <w:next w:val="Standaard"/>
    <w:link w:val="DuidelijkcitaatChar"/>
    <w:uiPriority w:val="30"/>
    <w:qFormat/>
    <w:rsid w:val="00E32D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2D58"/>
    <w:rPr>
      <w:i/>
      <w:iCs/>
      <w:color w:val="2F5496" w:themeColor="accent1" w:themeShade="BF"/>
    </w:rPr>
  </w:style>
  <w:style w:type="character" w:styleId="Intensieveverwijzing">
    <w:name w:val="Intense Reference"/>
    <w:basedOn w:val="Standaardalinea-lettertype"/>
    <w:uiPriority w:val="32"/>
    <w:qFormat/>
    <w:rsid w:val="00E32D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3306</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Alemayehu Toma</dc:creator>
  <cp:keywords/>
  <dc:description/>
  <cp:lastModifiedBy>Rooymans, T.P. (Pim)</cp:lastModifiedBy>
  <cp:revision>5</cp:revision>
  <dcterms:created xsi:type="dcterms:W3CDTF">2026-06-09T14:10:00Z</dcterms:created>
  <dcterms:modified xsi:type="dcterms:W3CDTF">2026-06-13T14:31:00Z</dcterms:modified>
</cp:coreProperties>
</file>